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9E" w:rsidRDefault="0000729E">
      <w:pPr>
        <w:rPr>
          <w:b/>
        </w:rPr>
      </w:pPr>
      <w:r w:rsidRPr="0000729E">
        <w:rPr>
          <w:b/>
        </w:rPr>
        <w:t>Contact and update of Intended destinations of Year 11 Children Looked After as at June 2015</w:t>
      </w:r>
    </w:p>
    <w:p w:rsidR="004C7D37" w:rsidRDefault="004C7D37">
      <w:pPr>
        <w:rPr>
          <w:b/>
        </w:rPr>
      </w:pPr>
    </w:p>
    <w:p w:rsidR="004C7D37" w:rsidRDefault="0000729E">
      <w:r>
        <w:t>In June</w:t>
      </w:r>
      <w:r w:rsidR="004C7D37">
        <w:t>,</w:t>
      </w:r>
      <w:r>
        <w:t xml:space="preserve"> the Wellbeing Prevention and Early Help Service (YPS)</w:t>
      </w:r>
      <w:r w:rsidR="004C7D37">
        <w:t>,</w:t>
      </w:r>
      <w:r>
        <w:t xml:space="preserve"> contacted the Year 11 cohort of Children Looked After to ensure they all had planned as 'Intended Destinatio</w:t>
      </w:r>
      <w:r w:rsidR="004C7D37">
        <w:t xml:space="preserve">n' for September after they </w:t>
      </w:r>
      <w:r>
        <w:t xml:space="preserve">leave compulsory education. </w:t>
      </w:r>
    </w:p>
    <w:p w:rsidR="0000729E" w:rsidRDefault="0000729E">
      <w:r>
        <w:t xml:space="preserve">A total of 150 were contacted and a third of these school leavers had a special education need or disability. The </w:t>
      </w:r>
      <w:r w:rsidR="004C7D37">
        <w:t>table</w:t>
      </w:r>
      <w:r>
        <w:t xml:space="preserve"> below show 129 had an intended </w:t>
      </w:r>
      <w:r w:rsidR="004C7D37">
        <w:t>destination and the WPEH (YPS) had been involved with 87 of the Year 11 CLA. Those CLA, without an intended destination, were referred to the district WPEH for further support in accessing learning in September.</w:t>
      </w:r>
    </w:p>
    <w:p w:rsidR="004C7D37" w:rsidRPr="0000729E" w:rsidRDefault="004C7D37"/>
    <w:tbl>
      <w:tblPr>
        <w:tblW w:w="4360" w:type="dxa"/>
        <w:tblLook w:val="04A0" w:firstRow="1" w:lastRow="0" w:firstColumn="1" w:lastColumn="0" w:noHBand="0" w:noVBand="1"/>
      </w:tblPr>
      <w:tblGrid>
        <w:gridCol w:w="1380"/>
        <w:gridCol w:w="2980"/>
      </w:tblGrid>
      <w:tr w:rsidR="0000729E" w:rsidRPr="0000729E" w:rsidTr="004C7D37">
        <w:trPr>
          <w:trHeight w:val="300"/>
        </w:trPr>
        <w:tc>
          <w:tcPr>
            <w:tcW w:w="1380" w:type="dxa"/>
            <w:tcBorders>
              <w:top w:val="nil"/>
              <w:left w:val="nil"/>
              <w:bottom w:val="single" w:sz="4" w:space="0" w:color="9BC2E6"/>
              <w:right w:val="nil"/>
            </w:tcBorders>
            <w:shd w:val="clear" w:color="DDEBF7" w:fill="DDEBF7"/>
            <w:noWrap/>
            <w:vAlign w:val="bottom"/>
            <w:hideMark/>
          </w:tcPr>
          <w:p w:rsidR="0000729E" w:rsidRPr="0000729E" w:rsidRDefault="0000729E" w:rsidP="0000729E">
            <w:pPr>
              <w:spacing w:after="0" w:line="240" w:lineRule="auto"/>
              <w:rPr>
                <w:rFonts w:ascii="Calibri" w:eastAsia="Times New Roman" w:hAnsi="Calibri" w:cs="Times New Roman"/>
                <w:b/>
                <w:bCs/>
                <w:color w:val="000000"/>
                <w:lang w:eastAsia="en-GB"/>
              </w:rPr>
            </w:pPr>
            <w:r w:rsidRPr="0000729E">
              <w:rPr>
                <w:rFonts w:ascii="Calibri" w:eastAsia="Times New Roman" w:hAnsi="Calibri" w:cs="Times New Roman"/>
                <w:b/>
                <w:bCs/>
                <w:color w:val="000000"/>
                <w:lang w:eastAsia="en-GB"/>
              </w:rPr>
              <w:t>Row Labels</w:t>
            </w:r>
          </w:p>
        </w:tc>
        <w:tc>
          <w:tcPr>
            <w:tcW w:w="2980" w:type="dxa"/>
            <w:tcBorders>
              <w:top w:val="nil"/>
              <w:left w:val="nil"/>
              <w:bottom w:val="single" w:sz="4" w:space="0" w:color="9BC2E6"/>
              <w:right w:val="nil"/>
            </w:tcBorders>
            <w:shd w:val="clear" w:color="DDEBF7" w:fill="DDEBF7"/>
            <w:noWrap/>
            <w:vAlign w:val="bottom"/>
            <w:hideMark/>
          </w:tcPr>
          <w:p w:rsidR="0000729E" w:rsidRPr="0000729E" w:rsidRDefault="0000729E" w:rsidP="0000729E">
            <w:pPr>
              <w:spacing w:after="0" w:line="240" w:lineRule="auto"/>
              <w:rPr>
                <w:rFonts w:ascii="Calibri" w:eastAsia="Times New Roman" w:hAnsi="Calibri" w:cs="Times New Roman"/>
                <w:b/>
                <w:bCs/>
                <w:color w:val="000000"/>
                <w:lang w:eastAsia="en-GB"/>
              </w:rPr>
            </w:pPr>
            <w:r w:rsidRPr="0000729E">
              <w:rPr>
                <w:rFonts w:ascii="Calibri" w:eastAsia="Times New Roman" w:hAnsi="Calibri" w:cs="Times New Roman"/>
                <w:b/>
                <w:bCs/>
                <w:color w:val="000000"/>
                <w:lang w:eastAsia="en-GB"/>
              </w:rPr>
              <w:t>Count of SEND</w:t>
            </w:r>
          </w:p>
        </w:tc>
      </w:tr>
      <w:tr w:rsidR="0000729E" w:rsidRPr="0000729E" w:rsidTr="004C7D37">
        <w:trPr>
          <w:trHeight w:val="300"/>
        </w:trPr>
        <w:tc>
          <w:tcPr>
            <w:tcW w:w="1380" w:type="dxa"/>
            <w:tcBorders>
              <w:top w:val="nil"/>
              <w:left w:val="nil"/>
              <w:bottom w:val="nil"/>
              <w:right w:val="nil"/>
            </w:tcBorders>
            <w:shd w:val="clear" w:color="auto" w:fill="auto"/>
            <w:noWrap/>
            <w:vAlign w:val="bottom"/>
            <w:hideMark/>
          </w:tcPr>
          <w:p w:rsidR="0000729E" w:rsidRPr="0000729E" w:rsidRDefault="0000729E" w:rsidP="0000729E">
            <w:pPr>
              <w:spacing w:after="0" w:line="240" w:lineRule="auto"/>
              <w:rPr>
                <w:rFonts w:ascii="Calibri" w:eastAsia="Times New Roman" w:hAnsi="Calibri" w:cs="Times New Roman"/>
                <w:color w:val="000000"/>
                <w:lang w:eastAsia="en-GB"/>
              </w:rPr>
            </w:pPr>
            <w:r w:rsidRPr="0000729E">
              <w:rPr>
                <w:rFonts w:ascii="Calibri" w:eastAsia="Times New Roman" w:hAnsi="Calibri" w:cs="Times New Roman"/>
                <w:color w:val="000000"/>
                <w:lang w:eastAsia="en-GB"/>
              </w:rPr>
              <w:t>Yes</w:t>
            </w:r>
          </w:p>
        </w:tc>
        <w:tc>
          <w:tcPr>
            <w:tcW w:w="2980" w:type="dxa"/>
            <w:tcBorders>
              <w:top w:val="nil"/>
              <w:left w:val="nil"/>
              <w:bottom w:val="nil"/>
              <w:right w:val="nil"/>
            </w:tcBorders>
            <w:shd w:val="clear" w:color="auto" w:fill="auto"/>
            <w:noWrap/>
            <w:vAlign w:val="bottom"/>
            <w:hideMark/>
          </w:tcPr>
          <w:p w:rsidR="0000729E" w:rsidRPr="0000729E" w:rsidRDefault="0000729E" w:rsidP="0000729E">
            <w:pPr>
              <w:spacing w:after="0" w:line="240" w:lineRule="auto"/>
              <w:jc w:val="right"/>
              <w:rPr>
                <w:rFonts w:ascii="Calibri" w:eastAsia="Times New Roman" w:hAnsi="Calibri" w:cs="Times New Roman"/>
                <w:color w:val="000000"/>
                <w:lang w:eastAsia="en-GB"/>
              </w:rPr>
            </w:pPr>
            <w:r w:rsidRPr="0000729E">
              <w:rPr>
                <w:rFonts w:ascii="Calibri" w:eastAsia="Times New Roman" w:hAnsi="Calibri" w:cs="Times New Roman"/>
                <w:color w:val="000000"/>
                <w:lang w:eastAsia="en-GB"/>
              </w:rPr>
              <w:t>50</w:t>
            </w:r>
          </w:p>
        </w:tc>
      </w:tr>
      <w:tr w:rsidR="0000729E" w:rsidRPr="0000729E" w:rsidTr="004C7D37">
        <w:trPr>
          <w:trHeight w:val="300"/>
        </w:trPr>
        <w:tc>
          <w:tcPr>
            <w:tcW w:w="1380" w:type="dxa"/>
            <w:tcBorders>
              <w:top w:val="nil"/>
              <w:left w:val="nil"/>
              <w:bottom w:val="nil"/>
              <w:right w:val="nil"/>
            </w:tcBorders>
            <w:shd w:val="clear" w:color="auto" w:fill="auto"/>
            <w:noWrap/>
            <w:vAlign w:val="bottom"/>
            <w:hideMark/>
          </w:tcPr>
          <w:p w:rsidR="0000729E" w:rsidRPr="0000729E" w:rsidRDefault="0000729E" w:rsidP="0000729E">
            <w:pPr>
              <w:spacing w:after="0" w:line="240" w:lineRule="auto"/>
              <w:rPr>
                <w:rFonts w:ascii="Calibri" w:eastAsia="Times New Roman" w:hAnsi="Calibri" w:cs="Times New Roman"/>
                <w:color w:val="000000"/>
                <w:lang w:eastAsia="en-GB"/>
              </w:rPr>
            </w:pPr>
            <w:r w:rsidRPr="0000729E">
              <w:rPr>
                <w:rFonts w:ascii="Calibri" w:eastAsia="Times New Roman" w:hAnsi="Calibri" w:cs="Times New Roman"/>
                <w:color w:val="000000"/>
                <w:lang w:eastAsia="en-GB"/>
              </w:rPr>
              <w:t>No</w:t>
            </w:r>
          </w:p>
        </w:tc>
        <w:tc>
          <w:tcPr>
            <w:tcW w:w="2980" w:type="dxa"/>
            <w:tcBorders>
              <w:top w:val="nil"/>
              <w:left w:val="nil"/>
              <w:bottom w:val="nil"/>
              <w:right w:val="nil"/>
            </w:tcBorders>
            <w:shd w:val="clear" w:color="auto" w:fill="auto"/>
            <w:noWrap/>
            <w:vAlign w:val="bottom"/>
            <w:hideMark/>
          </w:tcPr>
          <w:p w:rsidR="0000729E" w:rsidRPr="0000729E" w:rsidRDefault="0000729E" w:rsidP="0000729E">
            <w:pPr>
              <w:spacing w:after="0" w:line="240" w:lineRule="auto"/>
              <w:jc w:val="right"/>
              <w:rPr>
                <w:rFonts w:ascii="Calibri" w:eastAsia="Times New Roman" w:hAnsi="Calibri" w:cs="Times New Roman"/>
                <w:color w:val="000000"/>
                <w:lang w:eastAsia="en-GB"/>
              </w:rPr>
            </w:pPr>
            <w:r w:rsidRPr="0000729E">
              <w:rPr>
                <w:rFonts w:ascii="Calibri" w:eastAsia="Times New Roman" w:hAnsi="Calibri" w:cs="Times New Roman"/>
                <w:color w:val="000000"/>
                <w:lang w:eastAsia="en-GB"/>
              </w:rPr>
              <w:t>100</w:t>
            </w:r>
          </w:p>
        </w:tc>
      </w:tr>
      <w:tr w:rsidR="0000729E" w:rsidRPr="0000729E" w:rsidTr="004C7D37">
        <w:trPr>
          <w:trHeight w:val="300"/>
        </w:trPr>
        <w:tc>
          <w:tcPr>
            <w:tcW w:w="1380" w:type="dxa"/>
            <w:tcBorders>
              <w:top w:val="single" w:sz="4" w:space="0" w:color="9BC2E6"/>
              <w:left w:val="nil"/>
              <w:bottom w:val="nil"/>
              <w:right w:val="nil"/>
            </w:tcBorders>
            <w:shd w:val="clear" w:color="DDEBF7" w:fill="DDEBF7"/>
            <w:noWrap/>
            <w:vAlign w:val="bottom"/>
            <w:hideMark/>
          </w:tcPr>
          <w:p w:rsidR="0000729E" w:rsidRPr="0000729E" w:rsidRDefault="0000729E" w:rsidP="0000729E">
            <w:pPr>
              <w:spacing w:after="0" w:line="240" w:lineRule="auto"/>
              <w:rPr>
                <w:rFonts w:ascii="Calibri" w:eastAsia="Times New Roman" w:hAnsi="Calibri" w:cs="Times New Roman"/>
                <w:b/>
                <w:bCs/>
                <w:color w:val="000000"/>
                <w:lang w:eastAsia="en-GB"/>
              </w:rPr>
            </w:pPr>
            <w:r w:rsidRPr="0000729E">
              <w:rPr>
                <w:rFonts w:ascii="Calibri" w:eastAsia="Times New Roman" w:hAnsi="Calibri" w:cs="Times New Roman"/>
                <w:b/>
                <w:bCs/>
                <w:color w:val="000000"/>
                <w:lang w:eastAsia="en-GB"/>
              </w:rPr>
              <w:t>Grand Total</w:t>
            </w:r>
          </w:p>
        </w:tc>
        <w:tc>
          <w:tcPr>
            <w:tcW w:w="2980" w:type="dxa"/>
            <w:tcBorders>
              <w:top w:val="single" w:sz="4" w:space="0" w:color="9BC2E6"/>
              <w:left w:val="nil"/>
              <w:bottom w:val="nil"/>
              <w:right w:val="nil"/>
            </w:tcBorders>
            <w:shd w:val="clear" w:color="DDEBF7" w:fill="DDEBF7"/>
            <w:noWrap/>
            <w:vAlign w:val="bottom"/>
            <w:hideMark/>
          </w:tcPr>
          <w:p w:rsidR="0000729E" w:rsidRPr="0000729E" w:rsidRDefault="0000729E" w:rsidP="0000729E">
            <w:pPr>
              <w:spacing w:after="0" w:line="240" w:lineRule="auto"/>
              <w:jc w:val="right"/>
              <w:rPr>
                <w:rFonts w:ascii="Calibri" w:eastAsia="Times New Roman" w:hAnsi="Calibri" w:cs="Times New Roman"/>
                <w:b/>
                <w:bCs/>
                <w:color w:val="000000"/>
                <w:lang w:eastAsia="en-GB"/>
              </w:rPr>
            </w:pPr>
            <w:r w:rsidRPr="0000729E">
              <w:rPr>
                <w:rFonts w:ascii="Calibri" w:eastAsia="Times New Roman" w:hAnsi="Calibri" w:cs="Times New Roman"/>
                <w:b/>
                <w:bCs/>
                <w:color w:val="000000"/>
                <w:lang w:eastAsia="en-GB"/>
              </w:rPr>
              <w:t>150</w:t>
            </w:r>
          </w:p>
        </w:tc>
      </w:tr>
      <w:tr w:rsidR="004C7D37" w:rsidRPr="0000729E" w:rsidTr="004C7D37">
        <w:trPr>
          <w:trHeight w:val="300"/>
        </w:trPr>
        <w:tc>
          <w:tcPr>
            <w:tcW w:w="1380" w:type="dxa"/>
            <w:tcBorders>
              <w:top w:val="single" w:sz="4" w:space="0" w:color="9BC2E6"/>
              <w:left w:val="nil"/>
              <w:bottom w:val="nil"/>
              <w:right w:val="nil"/>
            </w:tcBorders>
            <w:shd w:val="clear" w:color="DDEBF7" w:fill="DDEBF7"/>
            <w:noWrap/>
            <w:vAlign w:val="bottom"/>
          </w:tcPr>
          <w:p w:rsidR="004C7D37" w:rsidRDefault="004C7D37" w:rsidP="0000729E">
            <w:pPr>
              <w:spacing w:after="0" w:line="240" w:lineRule="auto"/>
              <w:rPr>
                <w:rFonts w:ascii="Calibri" w:eastAsia="Times New Roman" w:hAnsi="Calibri" w:cs="Times New Roman"/>
                <w:b/>
                <w:bCs/>
                <w:color w:val="000000"/>
                <w:lang w:eastAsia="en-GB"/>
              </w:rPr>
            </w:pPr>
          </w:p>
          <w:p w:rsidR="004C7D37" w:rsidRPr="0000729E" w:rsidRDefault="004C7D37" w:rsidP="0000729E">
            <w:pPr>
              <w:spacing w:after="0" w:line="240" w:lineRule="auto"/>
              <w:rPr>
                <w:rFonts w:ascii="Calibri" w:eastAsia="Times New Roman" w:hAnsi="Calibri" w:cs="Times New Roman"/>
                <w:b/>
                <w:bCs/>
                <w:color w:val="000000"/>
                <w:lang w:eastAsia="en-GB"/>
              </w:rPr>
            </w:pPr>
          </w:p>
        </w:tc>
        <w:tc>
          <w:tcPr>
            <w:tcW w:w="2980" w:type="dxa"/>
            <w:tcBorders>
              <w:top w:val="single" w:sz="4" w:space="0" w:color="9BC2E6"/>
              <w:left w:val="nil"/>
              <w:bottom w:val="nil"/>
              <w:right w:val="nil"/>
            </w:tcBorders>
            <w:shd w:val="clear" w:color="DDEBF7" w:fill="DDEBF7"/>
            <w:noWrap/>
            <w:vAlign w:val="bottom"/>
          </w:tcPr>
          <w:p w:rsidR="004C7D37" w:rsidRPr="0000729E" w:rsidRDefault="004C7D37" w:rsidP="0000729E">
            <w:pPr>
              <w:spacing w:after="0" w:line="240" w:lineRule="auto"/>
              <w:jc w:val="right"/>
              <w:rPr>
                <w:rFonts w:ascii="Calibri" w:eastAsia="Times New Roman" w:hAnsi="Calibri" w:cs="Times New Roman"/>
                <w:b/>
                <w:bCs/>
                <w:color w:val="000000"/>
                <w:lang w:eastAsia="en-GB"/>
              </w:rPr>
            </w:pPr>
          </w:p>
        </w:tc>
      </w:tr>
      <w:tr w:rsidR="004C7D37" w:rsidRPr="004C7D37" w:rsidTr="004C7D37">
        <w:trPr>
          <w:trHeight w:val="300"/>
        </w:trPr>
        <w:tc>
          <w:tcPr>
            <w:tcW w:w="1380" w:type="dxa"/>
            <w:tcBorders>
              <w:top w:val="nil"/>
              <w:left w:val="nil"/>
              <w:bottom w:val="single" w:sz="4" w:space="0" w:color="9BC2E6"/>
              <w:right w:val="nil"/>
            </w:tcBorders>
            <w:shd w:val="clear" w:color="DDEBF7" w:fill="DDEBF7"/>
            <w:noWrap/>
            <w:vAlign w:val="bottom"/>
            <w:hideMark/>
          </w:tcPr>
          <w:p w:rsidR="004C7D37" w:rsidRPr="004C7D37" w:rsidRDefault="004C7D37" w:rsidP="004C7D37">
            <w:pPr>
              <w:spacing w:after="0" w:line="240" w:lineRule="auto"/>
              <w:rPr>
                <w:rFonts w:ascii="Calibri" w:eastAsia="Times New Roman" w:hAnsi="Calibri" w:cs="Times New Roman"/>
                <w:b/>
                <w:bCs/>
                <w:color w:val="000000"/>
                <w:lang w:eastAsia="en-GB"/>
              </w:rPr>
            </w:pPr>
            <w:r w:rsidRPr="004C7D37">
              <w:rPr>
                <w:rFonts w:ascii="Calibri" w:eastAsia="Times New Roman" w:hAnsi="Calibri" w:cs="Times New Roman"/>
                <w:b/>
                <w:bCs/>
                <w:color w:val="000000"/>
                <w:lang w:eastAsia="en-GB"/>
              </w:rPr>
              <w:t>Row Labels</w:t>
            </w:r>
          </w:p>
        </w:tc>
        <w:tc>
          <w:tcPr>
            <w:tcW w:w="2980" w:type="dxa"/>
            <w:tcBorders>
              <w:top w:val="nil"/>
              <w:left w:val="nil"/>
              <w:bottom w:val="single" w:sz="4" w:space="0" w:color="9BC2E6"/>
              <w:right w:val="nil"/>
            </w:tcBorders>
            <w:shd w:val="clear" w:color="DDEBF7" w:fill="DDEBF7"/>
            <w:noWrap/>
            <w:vAlign w:val="bottom"/>
            <w:hideMark/>
          </w:tcPr>
          <w:p w:rsidR="004C7D37" w:rsidRPr="004C7D37" w:rsidRDefault="004C7D37" w:rsidP="004C7D37">
            <w:pPr>
              <w:spacing w:after="0" w:line="240" w:lineRule="auto"/>
              <w:rPr>
                <w:rFonts w:ascii="Calibri" w:eastAsia="Times New Roman" w:hAnsi="Calibri" w:cs="Times New Roman"/>
                <w:b/>
                <w:bCs/>
                <w:color w:val="000000"/>
                <w:lang w:eastAsia="en-GB"/>
              </w:rPr>
            </w:pPr>
            <w:r w:rsidRPr="004C7D37">
              <w:rPr>
                <w:rFonts w:ascii="Calibri" w:eastAsia="Times New Roman" w:hAnsi="Calibri" w:cs="Times New Roman"/>
                <w:b/>
                <w:bCs/>
                <w:color w:val="000000"/>
                <w:lang w:eastAsia="en-GB"/>
              </w:rPr>
              <w:t>Count of YPS Involvement</w:t>
            </w:r>
          </w:p>
        </w:tc>
      </w:tr>
      <w:tr w:rsidR="004C7D37" w:rsidRPr="004C7D37" w:rsidTr="004C7D37">
        <w:trPr>
          <w:trHeight w:val="300"/>
        </w:trPr>
        <w:tc>
          <w:tcPr>
            <w:tcW w:w="1380" w:type="dxa"/>
            <w:tcBorders>
              <w:top w:val="nil"/>
              <w:left w:val="nil"/>
              <w:bottom w:val="nil"/>
              <w:right w:val="nil"/>
            </w:tcBorders>
            <w:shd w:val="clear" w:color="auto" w:fill="auto"/>
            <w:noWrap/>
            <w:vAlign w:val="bottom"/>
            <w:hideMark/>
          </w:tcPr>
          <w:p w:rsidR="004C7D37" w:rsidRPr="004C7D37" w:rsidRDefault="004C7D37" w:rsidP="004C7D37">
            <w:pPr>
              <w:spacing w:after="0" w:line="240" w:lineRule="auto"/>
              <w:rPr>
                <w:rFonts w:ascii="Calibri" w:eastAsia="Times New Roman" w:hAnsi="Calibri" w:cs="Times New Roman"/>
                <w:color w:val="000000"/>
                <w:lang w:eastAsia="en-GB"/>
              </w:rPr>
            </w:pPr>
            <w:r w:rsidRPr="004C7D37">
              <w:rPr>
                <w:rFonts w:ascii="Calibri" w:eastAsia="Times New Roman" w:hAnsi="Calibri" w:cs="Times New Roman"/>
                <w:color w:val="000000"/>
                <w:lang w:eastAsia="en-GB"/>
              </w:rPr>
              <w:t>Yes</w:t>
            </w:r>
          </w:p>
        </w:tc>
        <w:tc>
          <w:tcPr>
            <w:tcW w:w="2980" w:type="dxa"/>
            <w:tcBorders>
              <w:top w:val="nil"/>
              <w:left w:val="nil"/>
              <w:bottom w:val="nil"/>
              <w:right w:val="nil"/>
            </w:tcBorders>
            <w:shd w:val="clear" w:color="auto" w:fill="auto"/>
            <w:noWrap/>
            <w:vAlign w:val="bottom"/>
            <w:hideMark/>
          </w:tcPr>
          <w:p w:rsidR="004C7D37" w:rsidRPr="004C7D37" w:rsidRDefault="004C7D37" w:rsidP="004C7D37">
            <w:pPr>
              <w:spacing w:after="0" w:line="240" w:lineRule="auto"/>
              <w:jc w:val="right"/>
              <w:rPr>
                <w:rFonts w:ascii="Calibri" w:eastAsia="Times New Roman" w:hAnsi="Calibri" w:cs="Times New Roman"/>
                <w:color w:val="000000"/>
                <w:lang w:eastAsia="en-GB"/>
              </w:rPr>
            </w:pPr>
            <w:r w:rsidRPr="004C7D37">
              <w:rPr>
                <w:rFonts w:ascii="Calibri" w:eastAsia="Times New Roman" w:hAnsi="Calibri" w:cs="Times New Roman"/>
                <w:color w:val="000000"/>
                <w:lang w:eastAsia="en-GB"/>
              </w:rPr>
              <w:t>87</w:t>
            </w:r>
          </w:p>
        </w:tc>
      </w:tr>
      <w:tr w:rsidR="004C7D37" w:rsidRPr="004C7D37" w:rsidTr="004C7D37">
        <w:trPr>
          <w:trHeight w:val="300"/>
        </w:trPr>
        <w:tc>
          <w:tcPr>
            <w:tcW w:w="1380" w:type="dxa"/>
            <w:tcBorders>
              <w:top w:val="nil"/>
              <w:left w:val="nil"/>
              <w:bottom w:val="nil"/>
              <w:right w:val="nil"/>
            </w:tcBorders>
            <w:shd w:val="clear" w:color="auto" w:fill="auto"/>
            <w:noWrap/>
            <w:vAlign w:val="bottom"/>
            <w:hideMark/>
          </w:tcPr>
          <w:p w:rsidR="004C7D37" w:rsidRPr="004C7D37" w:rsidRDefault="004C7D37" w:rsidP="004C7D37">
            <w:pPr>
              <w:spacing w:after="0" w:line="240" w:lineRule="auto"/>
              <w:rPr>
                <w:rFonts w:ascii="Calibri" w:eastAsia="Times New Roman" w:hAnsi="Calibri" w:cs="Times New Roman"/>
                <w:color w:val="000000"/>
                <w:lang w:eastAsia="en-GB"/>
              </w:rPr>
            </w:pPr>
            <w:r w:rsidRPr="004C7D37">
              <w:rPr>
                <w:rFonts w:ascii="Calibri" w:eastAsia="Times New Roman" w:hAnsi="Calibri" w:cs="Times New Roman"/>
                <w:color w:val="000000"/>
                <w:lang w:eastAsia="en-GB"/>
              </w:rPr>
              <w:t>No</w:t>
            </w:r>
          </w:p>
        </w:tc>
        <w:tc>
          <w:tcPr>
            <w:tcW w:w="2980" w:type="dxa"/>
            <w:tcBorders>
              <w:top w:val="nil"/>
              <w:left w:val="nil"/>
              <w:bottom w:val="nil"/>
              <w:right w:val="nil"/>
            </w:tcBorders>
            <w:shd w:val="clear" w:color="auto" w:fill="auto"/>
            <w:noWrap/>
            <w:vAlign w:val="bottom"/>
            <w:hideMark/>
          </w:tcPr>
          <w:p w:rsidR="004C7D37" w:rsidRPr="004C7D37" w:rsidRDefault="004C7D37" w:rsidP="004C7D37">
            <w:pPr>
              <w:spacing w:after="0" w:line="240" w:lineRule="auto"/>
              <w:jc w:val="right"/>
              <w:rPr>
                <w:rFonts w:ascii="Calibri" w:eastAsia="Times New Roman" w:hAnsi="Calibri" w:cs="Times New Roman"/>
                <w:color w:val="000000"/>
                <w:lang w:eastAsia="en-GB"/>
              </w:rPr>
            </w:pPr>
            <w:r w:rsidRPr="004C7D37">
              <w:rPr>
                <w:rFonts w:ascii="Calibri" w:eastAsia="Times New Roman" w:hAnsi="Calibri" w:cs="Times New Roman"/>
                <w:color w:val="000000"/>
                <w:lang w:eastAsia="en-GB"/>
              </w:rPr>
              <w:t>63</w:t>
            </w:r>
          </w:p>
        </w:tc>
      </w:tr>
      <w:tr w:rsidR="004C7D37" w:rsidRPr="004C7D37" w:rsidTr="004C7D37">
        <w:trPr>
          <w:trHeight w:val="300"/>
        </w:trPr>
        <w:tc>
          <w:tcPr>
            <w:tcW w:w="1380" w:type="dxa"/>
            <w:tcBorders>
              <w:top w:val="single" w:sz="4" w:space="0" w:color="9BC2E6"/>
              <w:left w:val="nil"/>
              <w:bottom w:val="nil"/>
              <w:right w:val="nil"/>
            </w:tcBorders>
            <w:shd w:val="clear" w:color="DDEBF7" w:fill="DDEBF7"/>
            <w:noWrap/>
            <w:vAlign w:val="bottom"/>
            <w:hideMark/>
          </w:tcPr>
          <w:p w:rsidR="004C7D37" w:rsidRPr="004C7D37" w:rsidRDefault="004C7D37" w:rsidP="004C7D37">
            <w:pPr>
              <w:spacing w:after="0" w:line="240" w:lineRule="auto"/>
              <w:rPr>
                <w:rFonts w:ascii="Calibri" w:eastAsia="Times New Roman" w:hAnsi="Calibri" w:cs="Times New Roman"/>
                <w:b/>
                <w:bCs/>
                <w:color w:val="000000"/>
                <w:lang w:eastAsia="en-GB"/>
              </w:rPr>
            </w:pPr>
            <w:r w:rsidRPr="004C7D37">
              <w:rPr>
                <w:rFonts w:ascii="Calibri" w:eastAsia="Times New Roman" w:hAnsi="Calibri" w:cs="Times New Roman"/>
                <w:b/>
                <w:bCs/>
                <w:color w:val="000000"/>
                <w:lang w:eastAsia="en-GB"/>
              </w:rPr>
              <w:t>Grand Total</w:t>
            </w:r>
          </w:p>
        </w:tc>
        <w:tc>
          <w:tcPr>
            <w:tcW w:w="2980" w:type="dxa"/>
            <w:tcBorders>
              <w:top w:val="single" w:sz="4" w:space="0" w:color="9BC2E6"/>
              <w:left w:val="nil"/>
              <w:bottom w:val="nil"/>
              <w:right w:val="nil"/>
            </w:tcBorders>
            <w:shd w:val="clear" w:color="DDEBF7" w:fill="DDEBF7"/>
            <w:noWrap/>
            <w:vAlign w:val="bottom"/>
            <w:hideMark/>
          </w:tcPr>
          <w:p w:rsidR="004C7D37" w:rsidRPr="004C7D37" w:rsidRDefault="004C7D37" w:rsidP="004C7D37">
            <w:pPr>
              <w:spacing w:after="0" w:line="240" w:lineRule="auto"/>
              <w:jc w:val="right"/>
              <w:rPr>
                <w:rFonts w:ascii="Calibri" w:eastAsia="Times New Roman" w:hAnsi="Calibri" w:cs="Times New Roman"/>
                <w:b/>
                <w:bCs/>
                <w:color w:val="000000"/>
                <w:lang w:eastAsia="en-GB"/>
              </w:rPr>
            </w:pPr>
            <w:r w:rsidRPr="004C7D37">
              <w:rPr>
                <w:rFonts w:ascii="Calibri" w:eastAsia="Times New Roman" w:hAnsi="Calibri" w:cs="Times New Roman"/>
                <w:b/>
                <w:bCs/>
                <w:color w:val="000000"/>
                <w:lang w:eastAsia="en-GB"/>
              </w:rPr>
              <w:t>150</w:t>
            </w:r>
          </w:p>
        </w:tc>
      </w:tr>
    </w:tbl>
    <w:p w:rsidR="004C7D37" w:rsidRDefault="004C7D37"/>
    <w:p w:rsidR="0000729E" w:rsidRDefault="00BC208B">
      <w:r>
        <w:rPr>
          <w:noProof/>
          <w:lang w:eastAsia="en-GB"/>
        </w:rPr>
        <w:drawing>
          <wp:inline distT="0" distB="0" distL="0" distR="0" wp14:anchorId="5CDB54C5" wp14:editId="47DEDB68">
            <wp:extent cx="5181600" cy="331946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00729E" w:rsidSect="00007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9E"/>
    <w:rsid w:val="0000729E"/>
    <w:rsid w:val="001A67A6"/>
    <w:rsid w:val="004C7D37"/>
    <w:rsid w:val="00BC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90A0-A4B4-41B1-A24C-D331F63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0685">
      <w:bodyDiv w:val="1"/>
      <w:marLeft w:val="0"/>
      <w:marRight w:val="0"/>
      <w:marTop w:val="0"/>
      <w:marBottom w:val="0"/>
      <w:divBdr>
        <w:top w:val="none" w:sz="0" w:space="0" w:color="auto"/>
        <w:left w:val="none" w:sz="0" w:space="0" w:color="auto"/>
        <w:bottom w:val="none" w:sz="0" w:space="0" w:color="auto"/>
        <w:right w:val="none" w:sz="0" w:space="0" w:color="auto"/>
      </w:divBdr>
    </w:div>
    <w:div w:id="495651759">
      <w:bodyDiv w:val="1"/>
      <w:marLeft w:val="0"/>
      <w:marRight w:val="0"/>
      <w:marTop w:val="0"/>
      <w:marBottom w:val="0"/>
      <w:divBdr>
        <w:top w:val="none" w:sz="0" w:space="0" w:color="auto"/>
        <w:left w:val="none" w:sz="0" w:space="0" w:color="auto"/>
        <w:bottom w:val="none" w:sz="0" w:space="0" w:color="auto"/>
        <w:right w:val="none" w:sz="0" w:space="0" w:color="auto"/>
      </w:divBdr>
    </w:div>
    <w:div w:id="1685473448">
      <w:bodyDiv w:val="1"/>
      <w:marLeft w:val="0"/>
      <w:marRight w:val="0"/>
      <w:marTop w:val="0"/>
      <w:marBottom w:val="0"/>
      <w:divBdr>
        <w:top w:val="none" w:sz="0" w:space="0" w:color="auto"/>
        <w:left w:val="none" w:sz="0" w:space="0" w:color="auto"/>
        <w:bottom w:val="none" w:sz="0" w:space="0" w:color="auto"/>
        <w:right w:val="none" w:sz="0" w:space="0" w:color="auto"/>
      </w:divBdr>
    </w:div>
    <w:div w:id="19028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CYP\YC\SMT\Sandra%20Bilsborrow\Traded%20services\Special.PRU%20etc\CLA\CLA%20Charts%20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[CLA Charts 2015.xlsx]Analysis!PivotTable1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the young person have an intended destination?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Analysis!$B$1</c:f>
              <c:strCache>
                <c:ptCount val="1"/>
                <c:pt idx="0">
                  <c:v>Total</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Analysis!$A$2:$A$4</c:f>
              <c:strCache>
                <c:ptCount val="2"/>
                <c:pt idx="0">
                  <c:v>Yes</c:v>
                </c:pt>
                <c:pt idx="1">
                  <c:v>No</c:v>
                </c:pt>
              </c:strCache>
            </c:strRef>
          </c:cat>
          <c:val>
            <c:numRef>
              <c:f>Analysis!$B$2:$B$4</c:f>
              <c:numCache>
                <c:formatCode>General</c:formatCode>
                <c:ptCount val="2"/>
                <c:pt idx="0">
                  <c:v>129</c:v>
                </c:pt>
                <c:pt idx="1">
                  <c:v>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Bilsborrow, Sandra</dc:creator>
  <cp:keywords/>
  <dc:description/>
  <cp:lastModifiedBy>Bilsborrow, Sandra</cp:lastModifiedBy>
  <cp:revision>1</cp:revision>
  <dcterms:created xsi:type="dcterms:W3CDTF">2015-08-17T09:23:00Z</dcterms:created>
  <dcterms:modified xsi:type="dcterms:W3CDTF">2015-08-17T09:44:00Z</dcterms:modified>
</cp:coreProperties>
</file>